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D6D" w:rsidRDefault="009217EB" w:rsidP="00BF5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Микросейсмический мониторинг МГРП по методу  </w:t>
      </w:r>
      <w:r w:rsidR="00BF5D6D" w:rsidRPr="00BF5D6D">
        <w:rPr>
          <w:rFonts w:ascii="Times New Roman" w:hAnsi="Times New Roman" w:cs="Times New Roman"/>
          <w:b/>
          <w:sz w:val="24"/>
          <w:szCs w:val="24"/>
          <w:lang w:val="en-US"/>
        </w:rPr>
        <w:t>MicroseismicCSP</w:t>
      </w:r>
    </w:p>
    <w:p w:rsidR="009217EB" w:rsidRPr="009217EB" w:rsidRDefault="009217EB" w:rsidP="00BF5D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DB6" w:rsidRDefault="00D32DB6" w:rsidP="00D32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7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09C">
        <w:rPr>
          <w:rFonts w:ascii="Times New Roman" w:hAnsi="Times New Roman" w:cs="Times New Roman"/>
          <w:b/>
          <w:sz w:val="24"/>
          <w:szCs w:val="24"/>
        </w:rPr>
        <w:t>М</w:t>
      </w:r>
      <w:r w:rsidR="009217EB" w:rsidRPr="009217EB">
        <w:rPr>
          <w:rFonts w:ascii="Times New Roman" w:hAnsi="Times New Roman" w:cs="Times New Roman"/>
          <w:b/>
          <w:sz w:val="24"/>
          <w:szCs w:val="24"/>
        </w:rPr>
        <w:t>етод.</w:t>
      </w:r>
      <w:r w:rsidR="009217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Микросейсмический м</w:t>
      </w:r>
      <w:r w:rsidR="00186D53">
        <w:rPr>
          <w:rFonts w:ascii="Times New Roman" w:hAnsi="Times New Roman" w:cs="Times New Roman"/>
          <w:sz w:val="24"/>
          <w:szCs w:val="24"/>
        </w:rPr>
        <w:t xml:space="preserve">ониторинг </w:t>
      </w:r>
      <w:r>
        <w:rPr>
          <w:rFonts w:ascii="Times New Roman" w:hAnsi="Times New Roman" w:cs="Times New Roman"/>
          <w:sz w:val="24"/>
          <w:szCs w:val="24"/>
        </w:rPr>
        <w:t xml:space="preserve">многостадийного </w:t>
      </w:r>
      <w:proofErr w:type="spellStart"/>
      <w:r w:rsidR="00186D53">
        <w:rPr>
          <w:rFonts w:ascii="Times New Roman" w:hAnsi="Times New Roman" w:cs="Times New Roman"/>
          <w:sz w:val="24"/>
          <w:szCs w:val="24"/>
        </w:rPr>
        <w:t>гидроразрыва</w:t>
      </w:r>
      <w:proofErr w:type="spellEnd"/>
      <w:r w:rsidR="00186D53">
        <w:rPr>
          <w:rFonts w:ascii="Times New Roman" w:hAnsi="Times New Roman" w:cs="Times New Roman"/>
          <w:sz w:val="24"/>
          <w:szCs w:val="24"/>
        </w:rPr>
        <w:t xml:space="preserve"> пласта (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86D53">
        <w:rPr>
          <w:rFonts w:ascii="Times New Roman" w:hAnsi="Times New Roman" w:cs="Times New Roman"/>
          <w:sz w:val="24"/>
          <w:szCs w:val="24"/>
        </w:rPr>
        <w:t xml:space="preserve">ГРП) на месторождении углеводородов осуществляется путем регистрации микросейсмической эмиссии на дневной поверхности с помощью </w:t>
      </w:r>
      <w:proofErr w:type="spellStart"/>
      <w:r w:rsidR="00186D53">
        <w:rPr>
          <w:rFonts w:ascii="Times New Roman" w:hAnsi="Times New Roman" w:cs="Times New Roman"/>
          <w:sz w:val="24"/>
          <w:szCs w:val="24"/>
        </w:rPr>
        <w:t>малопертурной</w:t>
      </w:r>
      <w:proofErr w:type="spellEnd"/>
      <w:r w:rsidR="00186D53">
        <w:rPr>
          <w:rFonts w:ascii="Times New Roman" w:hAnsi="Times New Roman" w:cs="Times New Roman"/>
          <w:sz w:val="24"/>
          <w:szCs w:val="24"/>
        </w:rPr>
        <w:t xml:space="preserve"> антенны, расположенной в эпицентральной зоне источников эмиссии, и специализированной обработки данных с помощью кластерных вычислений.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72F" w:rsidRDefault="009217EB" w:rsidP="00D32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Регистрация. </w:t>
      </w:r>
      <w:r>
        <w:rPr>
          <w:rFonts w:ascii="Times New Roman" w:hAnsi="Times New Roman" w:cs="Times New Roman"/>
          <w:sz w:val="24"/>
          <w:szCs w:val="24"/>
        </w:rPr>
        <w:t xml:space="preserve">Используемая схема проведения микросейсмического мониторинга предполагает контроль проведения всех технологических операций на скважине, включая сутки до начала и сутки после окончания МГРП. </w:t>
      </w:r>
      <w:r w:rsidR="0090672F">
        <w:rPr>
          <w:rFonts w:ascii="Times New Roman" w:hAnsi="Times New Roman" w:cs="Times New Roman"/>
          <w:sz w:val="24"/>
          <w:szCs w:val="24"/>
        </w:rPr>
        <w:t>Время мобилизации полевой бригады составляет 10 суток, демобилизации 3 суток.</w:t>
      </w:r>
    </w:p>
    <w:p w:rsidR="000F03A2" w:rsidRDefault="009217EB" w:rsidP="00D32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Аппаратура.</w:t>
      </w:r>
      <w:r w:rsidR="00D32DB6">
        <w:rPr>
          <w:rFonts w:ascii="Times New Roman" w:hAnsi="Times New Roman" w:cs="Times New Roman"/>
          <w:sz w:val="24"/>
          <w:szCs w:val="24"/>
        </w:rPr>
        <w:t xml:space="preserve"> </w:t>
      </w:r>
      <w:r w:rsidR="000F03A2">
        <w:rPr>
          <w:rFonts w:ascii="Times New Roman" w:hAnsi="Times New Roman" w:cs="Times New Roman"/>
          <w:sz w:val="24"/>
          <w:szCs w:val="24"/>
        </w:rPr>
        <w:t xml:space="preserve">Полевые работы проводятся с использованием цифровых сейсмических станций </w:t>
      </w:r>
      <w:r w:rsidR="000F03A2">
        <w:rPr>
          <w:rFonts w:ascii="Times New Roman" w:hAnsi="Times New Roman" w:cs="Times New Roman"/>
          <w:sz w:val="24"/>
          <w:szCs w:val="24"/>
          <w:lang w:val="en-US"/>
        </w:rPr>
        <w:t>Scout</w:t>
      </w:r>
      <w:r w:rsidR="000F03A2" w:rsidRPr="000F03A2">
        <w:rPr>
          <w:rFonts w:ascii="Times New Roman" w:hAnsi="Times New Roman" w:cs="Times New Roman"/>
          <w:sz w:val="24"/>
          <w:szCs w:val="24"/>
        </w:rPr>
        <w:t xml:space="preserve"> </w:t>
      </w:r>
      <w:r w:rsidR="000F03A2">
        <w:rPr>
          <w:rFonts w:ascii="Times New Roman" w:hAnsi="Times New Roman" w:cs="Times New Roman"/>
          <w:sz w:val="24"/>
          <w:szCs w:val="24"/>
        </w:rPr>
        <w:t>(</w:t>
      </w:r>
      <w:r w:rsidR="000F03A2">
        <w:rPr>
          <w:rFonts w:ascii="Times New Roman" w:hAnsi="Times New Roman" w:cs="Times New Roman"/>
          <w:sz w:val="24"/>
          <w:szCs w:val="24"/>
        </w:rPr>
        <w:fldChar w:fldCharType="begin"/>
      </w:r>
      <w:r w:rsidR="000F03A2">
        <w:rPr>
          <w:rFonts w:ascii="Times New Roman" w:hAnsi="Times New Roman" w:cs="Times New Roman"/>
          <w:sz w:val="24"/>
          <w:szCs w:val="24"/>
        </w:rPr>
        <w:instrText xml:space="preserve"> REF _Ref430619532 \h </w:instrText>
      </w:r>
      <w:r w:rsidR="00AB6A3D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F03A2">
        <w:rPr>
          <w:rFonts w:ascii="Times New Roman" w:hAnsi="Times New Roman" w:cs="Times New Roman"/>
          <w:sz w:val="24"/>
          <w:szCs w:val="24"/>
        </w:rPr>
      </w:r>
      <w:r w:rsidR="000F03A2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1</w:t>
      </w:r>
      <w:r w:rsidR="000F03A2">
        <w:rPr>
          <w:rFonts w:ascii="Times New Roman" w:hAnsi="Times New Roman" w:cs="Times New Roman"/>
          <w:sz w:val="24"/>
          <w:szCs w:val="24"/>
        </w:rPr>
        <w:fldChar w:fldCharType="end"/>
      </w:r>
      <w:r w:rsidR="000F03A2">
        <w:rPr>
          <w:rFonts w:ascii="Times New Roman" w:hAnsi="Times New Roman" w:cs="Times New Roman"/>
          <w:sz w:val="24"/>
          <w:szCs w:val="24"/>
        </w:rPr>
        <w:t xml:space="preserve">), снаряженных сейсмическими датчиками </w:t>
      </w:r>
      <w:r w:rsidR="000F03A2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0F03A2" w:rsidRPr="000F03A2">
        <w:rPr>
          <w:rFonts w:ascii="Times New Roman" w:hAnsi="Times New Roman" w:cs="Times New Roman"/>
          <w:sz w:val="24"/>
          <w:szCs w:val="24"/>
        </w:rPr>
        <w:t>-</w:t>
      </w:r>
      <w:r w:rsidR="000F03A2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0F03A2">
        <w:rPr>
          <w:rFonts w:ascii="Times New Roman" w:hAnsi="Times New Roman" w:cs="Times New Roman"/>
          <w:sz w:val="24"/>
          <w:szCs w:val="24"/>
        </w:rPr>
        <w:t>. Используемое оборудование позволяет</w:t>
      </w:r>
      <w:r w:rsidR="000F03A2" w:rsidRPr="000F03A2">
        <w:rPr>
          <w:rFonts w:ascii="Times New Roman" w:hAnsi="Times New Roman" w:cs="Times New Roman"/>
          <w:sz w:val="24"/>
          <w:szCs w:val="24"/>
        </w:rPr>
        <w:t xml:space="preserve"> </w:t>
      </w:r>
      <w:r w:rsidR="00161AF7">
        <w:rPr>
          <w:rFonts w:ascii="Times New Roman" w:hAnsi="Times New Roman" w:cs="Times New Roman"/>
          <w:sz w:val="24"/>
          <w:szCs w:val="24"/>
        </w:rPr>
        <w:t>регистрировать</w:t>
      </w:r>
      <w:r w:rsidR="000F03A2" w:rsidRPr="000F03A2">
        <w:rPr>
          <w:rFonts w:ascii="Times New Roman" w:hAnsi="Times New Roman" w:cs="Times New Roman"/>
          <w:sz w:val="24"/>
          <w:szCs w:val="24"/>
        </w:rPr>
        <w:t xml:space="preserve"> данн</w:t>
      </w:r>
      <w:r w:rsidR="00161AF7">
        <w:rPr>
          <w:rFonts w:ascii="Times New Roman" w:hAnsi="Times New Roman" w:cs="Times New Roman"/>
          <w:sz w:val="24"/>
          <w:szCs w:val="24"/>
        </w:rPr>
        <w:t>ые</w:t>
      </w:r>
      <w:r w:rsidR="000F03A2">
        <w:rPr>
          <w:rFonts w:ascii="Times New Roman" w:hAnsi="Times New Roman" w:cs="Times New Roman"/>
          <w:sz w:val="24"/>
          <w:szCs w:val="24"/>
        </w:rPr>
        <w:t xml:space="preserve"> со следующими параметрами:</w:t>
      </w:r>
    </w:p>
    <w:p w:rsidR="000F03A2" w:rsidRDefault="0090672F" w:rsidP="000F03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F03A2">
        <w:rPr>
          <w:rFonts w:ascii="Times New Roman" w:hAnsi="Times New Roman" w:cs="Times New Roman"/>
          <w:sz w:val="24"/>
          <w:szCs w:val="24"/>
        </w:rPr>
        <w:t>инхронн</w:t>
      </w:r>
      <w:r w:rsidR="00161AF7">
        <w:rPr>
          <w:rFonts w:ascii="Times New Roman" w:hAnsi="Times New Roman" w:cs="Times New Roman"/>
          <w:sz w:val="24"/>
          <w:szCs w:val="24"/>
        </w:rPr>
        <w:t>ость</w:t>
      </w:r>
      <w:r w:rsidR="000F03A2">
        <w:rPr>
          <w:rFonts w:ascii="Times New Roman" w:hAnsi="Times New Roman" w:cs="Times New Roman"/>
          <w:sz w:val="24"/>
          <w:szCs w:val="24"/>
        </w:rPr>
        <w:t xml:space="preserve"> запис</w:t>
      </w:r>
      <w:r w:rsidR="00161AF7">
        <w:rPr>
          <w:rFonts w:ascii="Times New Roman" w:hAnsi="Times New Roman" w:cs="Times New Roman"/>
          <w:sz w:val="24"/>
          <w:szCs w:val="24"/>
        </w:rPr>
        <w:t>и</w:t>
      </w:r>
      <w:r w:rsidR="000F03A2" w:rsidRPr="000F03A2">
        <w:rPr>
          <w:rFonts w:ascii="Times New Roman" w:hAnsi="Times New Roman" w:cs="Times New Roman"/>
          <w:sz w:val="24"/>
          <w:szCs w:val="24"/>
        </w:rPr>
        <w:t xml:space="preserve"> с погрешностью</w:t>
      </w:r>
      <w:r>
        <w:rPr>
          <w:rFonts w:ascii="Times New Roman" w:hAnsi="Times New Roman" w:cs="Times New Roman"/>
          <w:sz w:val="24"/>
          <w:szCs w:val="24"/>
        </w:rPr>
        <w:t xml:space="preserve"> не более 100 микросекунд</w:t>
      </w:r>
      <w:r w:rsidR="00161AF7">
        <w:rPr>
          <w:rFonts w:ascii="Times New Roman" w:hAnsi="Times New Roman" w:cs="Times New Roman"/>
          <w:sz w:val="24"/>
          <w:szCs w:val="24"/>
        </w:rPr>
        <w:t>,</w:t>
      </w:r>
    </w:p>
    <w:p w:rsidR="000F03A2" w:rsidRDefault="000F03A2" w:rsidP="000F03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03A2">
        <w:rPr>
          <w:rFonts w:ascii="Times New Roman" w:hAnsi="Times New Roman" w:cs="Times New Roman"/>
          <w:sz w:val="24"/>
          <w:szCs w:val="24"/>
        </w:rPr>
        <w:t>частот</w:t>
      </w:r>
      <w:r w:rsidR="00161AF7">
        <w:rPr>
          <w:rFonts w:ascii="Times New Roman" w:hAnsi="Times New Roman" w:cs="Times New Roman"/>
          <w:sz w:val="24"/>
          <w:szCs w:val="24"/>
        </w:rPr>
        <w:t>а дискретизации</w:t>
      </w:r>
      <w:r w:rsidRPr="000F03A2">
        <w:rPr>
          <w:rFonts w:ascii="Times New Roman" w:hAnsi="Times New Roman" w:cs="Times New Roman"/>
          <w:sz w:val="24"/>
          <w:szCs w:val="24"/>
        </w:rPr>
        <w:t xml:space="preserve"> более 1 кГц</w:t>
      </w:r>
      <w:r w:rsidR="00161AF7">
        <w:rPr>
          <w:rFonts w:ascii="Times New Roman" w:hAnsi="Times New Roman" w:cs="Times New Roman"/>
          <w:sz w:val="24"/>
          <w:szCs w:val="24"/>
        </w:rPr>
        <w:t>,</w:t>
      </w:r>
    </w:p>
    <w:p w:rsidR="00186D53" w:rsidRDefault="000F03A2" w:rsidP="000F03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03A2">
        <w:rPr>
          <w:rFonts w:ascii="Times New Roman" w:hAnsi="Times New Roman" w:cs="Times New Roman"/>
          <w:sz w:val="24"/>
          <w:szCs w:val="24"/>
        </w:rPr>
        <w:t>рабочий частотный диапазон 5-200 Гц</w:t>
      </w:r>
      <w:r w:rsidR="00161AF7">
        <w:rPr>
          <w:rFonts w:ascii="Times New Roman" w:hAnsi="Times New Roman" w:cs="Times New Roman"/>
          <w:sz w:val="24"/>
          <w:szCs w:val="24"/>
        </w:rPr>
        <w:t>,</w:t>
      </w:r>
    </w:p>
    <w:p w:rsidR="000F03A2" w:rsidRDefault="00161AF7" w:rsidP="000F03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непрерывность регистрации </w:t>
      </w:r>
      <w:r w:rsidR="000F03A2">
        <w:rPr>
          <w:rFonts w:ascii="Times New Roman" w:hAnsi="Times New Roman" w:cs="Times New Roman"/>
          <w:sz w:val="24"/>
          <w:szCs w:val="24"/>
        </w:rPr>
        <w:t>до 28 дней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6D1F" w:rsidRPr="00161AF7" w:rsidRDefault="008D771E" w:rsidP="00AB6A3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Применяемый дифференциальный</w:t>
      </w:r>
      <w:r w:rsidR="00161AF7">
        <w:rPr>
          <w:rFonts w:ascii="Times New Roman" w:hAnsi="Times New Roman" w:cs="Times New Roman"/>
          <w:sz w:val="24"/>
          <w:szCs w:val="24"/>
        </w:rPr>
        <w:t xml:space="preserve"> </w:t>
      </w:r>
      <w:r w:rsidR="00D32DB6"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> - приемник</w:t>
      </w:r>
      <w:r w:rsidR="00161AF7">
        <w:rPr>
          <w:rFonts w:ascii="Times New Roman" w:hAnsi="Times New Roman" w:cs="Times New Roman"/>
          <w:sz w:val="24"/>
          <w:szCs w:val="24"/>
        </w:rPr>
        <w:t xml:space="preserve"> позволяет измерять относительные координаты сейсмических датчиков с высокой точностью.</w:t>
      </w:r>
      <w:r w:rsidR="00CB58EB" w:rsidRPr="00CB58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5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E650D" wp14:editId="5A7759BF">
            <wp:extent cx="2087593" cy="1591854"/>
            <wp:effectExtent l="0" t="0" r="8255" b="8890"/>
            <wp:docPr id="17" name="Рисунок 17" descr="\\10.10.15.202\Shara\scout\scout7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10.15.202\Shara\scout\scout7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1"/>
                    <a:stretch/>
                  </pic:blipFill>
                  <pic:spPr bwMode="auto">
                    <a:xfrm>
                      <a:off x="0" y="0"/>
                      <a:ext cx="2096292" cy="15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8EB">
        <w:rPr>
          <w:noProof/>
          <w:sz w:val="28"/>
          <w:szCs w:val="28"/>
          <w:lang w:eastAsia="ru-RU"/>
        </w:rPr>
        <w:drawing>
          <wp:inline distT="0" distB="0" distL="0" distR="0" wp14:anchorId="563808F9" wp14:editId="3EBD28A0">
            <wp:extent cx="1289241" cy="1604514"/>
            <wp:effectExtent l="0" t="0" r="6350" b="0"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1291563" cy="16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000BE" wp14:editId="11193C89">
            <wp:extent cx="2456121" cy="1337471"/>
            <wp:effectExtent l="0" t="0" r="1905" b="0"/>
            <wp:docPr id="13" name="Рисунок 13" descr="\\10.10.15.202\Shara\scout\sco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0.15.202\Shara\scout\scou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"/>
                    <a:stretch/>
                  </pic:blipFill>
                  <pic:spPr bwMode="auto">
                    <a:xfrm>
                      <a:off x="0" y="0"/>
                      <a:ext cx="2465200" cy="13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6D" w:rsidRDefault="00BF5D6D" w:rsidP="00BF5D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D6D" w:rsidRPr="0090672F" w:rsidRDefault="00BF5D6D" w:rsidP="00186D5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Ref430619532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1</w:t>
      </w:r>
      <w:r>
        <w:fldChar w:fldCharType="end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0672F">
        <w:rPr>
          <w:rFonts w:ascii="Times New Roman" w:hAnsi="Times New Roman" w:cs="Times New Roman"/>
          <w:sz w:val="24"/>
          <w:szCs w:val="24"/>
        </w:rPr>
        <w:t xml:space="preserve">Трехканальная цифровая сейсмическая станция </w:t>
      </w:r>
      <w:r w:rsidR="0090672F">
        <w:rPr>
          <w:rFonts w:ascii="Times New Roman" w:hAnsi="Times New Roman" w:cs="Times New Roman"/>
          <w:sz w:val="24"/>
          <w:szCs w:val="24"/>
          <w:lang w:val="en-US"/>
        </w:rPr>
        <w:t>Scout</w:t>
      </w:r>
      <w:r w:rsidR="0090672F" w:rsidRPr="0090672F">
        <w:rPr>
          <w:rFonts w:ascii="Times New Roman" w:hAnsi="Times New Roman" w:cs="Times New Roman"/>
          <w:sz w:val="24"/>
          <w:szCs w:val="24"/>
        </w:rPr>
        <w:t xml:space="preserve"> </w:t>
      </w:r>
      <w:r w:rsidR="0090672F">
        <w:rPr>
          <w:rFonts w:ascii="Times New Roman" w:hAnsi="Times New Roman" w:cs="Times New Roman"/>
          <w:sz w:val="24"/>
          <w:szCs w:val="24"/>
        </w:rPr>
        <w:t xml:space="preserve">снаряженная сейсмическими датчиками </w:t>
      </w:r>
      <w:r w:rsidR="0090672F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90672F" w:rsidRPr="000F03A2">
        <w:rPr>
          <w:rFonts w:ascii="Times New Roman" w:hAnsi="Times New Roman" w:cs="Times New Roman"/>
          <w:sz w:val="24"/>
          <w:szCs w:val="24"/>
        </w:rPr>
        <w:t>-</w:t>
      </w:r>
      <w:r w:rsidR="0090672F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90672F">
        <w:rPr>
          <w:rFonts w:ascii="Times New Roman" w:hAnsi="Times New Roman" w:cs="Times New Roman"/>
          <w:sz w:val="24"/>
          <w:szCs w:val="24"/>
        </w:rPr>
        <w:t>.</w:t>
      </w:r>
    </w:p>
    <w:p w:rsidR="0090672F" w:rsidRDefault="00D32DB6" w:rsidP="00D32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DB6">
        <w:rPr>
          <w:rFonts w:ascii="Times New Roman" w:hAnsi="Times New Roman" w:cs="Times New Roman"/>
          <w:b/>
          <w:sz w:val="24"/>
          <w:szCs w:val="24"/>
        </w:rPr>
        <w:t>Схема наблюдения.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A3D">
        <w:rPr>
          <w:rFonts w:ascii="Times New Roman" w:hAnsi="Times New Roman" w:cs="Times New Roman"/>
          <w:sz w:val="24"/>
          <w:szCs w:val="24"/>
        </w:rPr>
        <w:t>Антенна</w:t>
      </w:r>
      <w:r w:rsidR="00AB6A3D" w:rsidRPr="00AB6A3D">
        <w:rPr>
          <w:rFonts w:ascii="Times New Roman" w:hAnsi="Times New Roman" w:cs="Times New Roman"/>
          <w:sz w:val="24"/>
          <w:szCs w:val="24"/>
        </w:rPr>
        <w:t xml:space="preserve"> сос</w:t>
      </w:r>
      <w:r w:rsidR="00AB6A3D">
        <w:rPr>
          <w:rFonts w:ascii="Times New Roman" w:hAnsi="Times New Roman" w:cs="Times New Roman"/>
          <w:sz w:val="24"/>
          <w:szCs w:val="24"/>
        </w:rPr>
        <w:t>тоит из сейсмических датчиков (</w:t>
      </w:r>
      <w:r w:rsidR="00AB6A3D" w:rsidRPr="00AB6A3D">
        <w:rPr>
          <w:rFonts w:ascii="Times New Roman" w:hAnsi="Times New Roman" w:cs="Times New Roman"/>
          <w:sz w:val="24"/>
          <w:szCs w:val="24"/>
        </w:rPr>
        <w:t>апертура антенны около 500 метров</w:t>
      </w:r>
      <w:r w:rsidR="00AB6A3D">
        <w:rPr>
          <w:rFonts w:ascii="Times New Roman" w:hAnsi="Times New Roman" w:cs="Times New Roman"/>
          <w:sz w:val="24"/>
          <w:szCs w:val="24"/>
        </w:rPr>
        <w:t>),</w:t>
      </w:r>
      <w:r w:rsidR="00AB6A3D" w:rsidRPr="00AB6A3D">
        <w:rPr>
          <w:rFonts w:ascii="Times New Roman" w:hAnsi="Times New Roman" w:cs="Times New Roman"/>
          <w:sz w:val="24"/>
          <w:szCs w:val="24"/>
        </w:rPr>
        <w:t xml:space="preserve"> </w:t>
      </w:r>
      <w:r w:rsidR="00AB6A3D">
        <w:rPr>
          <w:rFonts w:ascii="Times New Roman" w:hAnsi="Times New Roman" w:cs="Times New Roman"/>
          <w:sz w:val="24"/>
          <w:szCs w:val="24"/>
        </w:rPr>
        <w:t>д</w:t>
      </w:r>
      <w:r w:rsidR="00AB6A3D" w:rsidRPr="00AB6A3D">
        <w:rPr>
          <w:rFonts w:ascii="Times New Roman" w:hAnsi="Times New Roman" w:cs="Times New Roman"/>
          <w:sz w:val="24"/>
          <w:szCs w:val="24"/>
        </w:rPr>
        <w:t>атчики заглубляются на 1-2 метра в зависимости от геологических условий.</w:t>
      </w:r>
      <w:r w:rsidR="00AB6A3D">
        <w:rPr>
          <w:rFonts w:ascii="Times New Roman" w:hAnsi="Times New Roman" w:cs="Times New Roman"/>
          <w:sz w:val="24"/>
          <w:szCs w:val="24"/>
        </w:rPr>
        <w:t xml:space="preserve"> </w:t>
      </w:r>
      <w:r w:rsidR="00AB6A3D" w:rsidRPr="00AB6A3D">
        <w:rPr>
          <w:rFonts w:ascii="Times New Roman" w:hAnsi="Times New Roman" w:cs="Times New Roman"/>
          <w:sz w:val="24"/>
          <w:szCs w:val="24"/>
        </w:rPr>
        <w:lastRenderedPageBreak/>
        <w:t xml:space="preserve">Отличительными особенностями </w:t>
      </w:r>
      <w:r w:rsidR="00AB6A3D">
        <w:rPr>
          <w:rFonts w:ascii="Times New Roman" w:hAnsi="Times New Roman" w:cs="Times New Roman"/>
          <w:sz w:val="24"/>
          <w:szCs w:val="24"/>
        </w:rPr>
        <w:t xml:space="preserve">методики наблюдения </w:t>
      </w:r>
      <w:r w:rsidR="008D771E">
        <w:rPr>
          <w:rFonts w:ascii="Times New Roman" w:hAnsi="Times New Roman" w:cs="Times New Roman"/>
          <w:sz w:val="24"/>
          <w:szCs w:val="24"/>
        </w:rPr>
        <w:t>(</w:t>
      </w:r>
      <w:r w:rsidR="00AB6A3D">
        <w:rPr>
          <w:rFonts w:ascii="Times New Roman" w:hAnsi="Times New Roman" w:cs="Times New Roman"/>
          <w:sz w:val="24"/>
          <w:szCs w:val="24"/>
        </w:rPr>
        <w:fldChar w:fldCharType="begin"/>
      </w:r>
      <w:r w:rsidR="00AB6A3D">
        <w:rPr>
          <w:rFonts w:ascii="Times New Roman" w:hAnsi="Times New Roman" w:cs="Times New Roman"/>
          <w:sz w:val="24"/>
          <w:szCs w:val="24"/>
        </w:rPr>
        <w:instrText xml:space="preserve"> REF _Ref430622629 \h </w:instrText>
      </w:r>
      <w:r w:rsidR="00AB6A3D">
        <w:rPr>
          <w:rFonts w:ascii="Times New Roman" w:hAnsi="Times New Roman" w:cs="Times New Roman"/>
          <w:sz w:val="24"/>
          <w:szCs w:val="24"/>
        </w:rPr>
      </w:r>
      <w:r w:rsidR="00AB6A3D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2</w:t>
      </w:r>
      <w:r w:rsidR="00AB6A3D">
        <w:rPr>
          <w:rFonts w:ascii="Times New Roman" w:hAnsi="Times New Roman" w:cs="Times New Roman"/>
          <w:sz w:val="24"/>
          <w:szCs w:val="24"/>
        </w:rPr>
        <w:fldChar w:fldCharType="end"/>
      </w:r>
      <w:r w:rsidR="008D771E">
        <w:rPr>
          <w:rFonts w:ascii="Times New Roman" w:hAnsi="Times New Roman" w:cs="Times New Roman"/>
          <w:sz w:val="24"/>
          <w:szCs w:val="24"/>
        </w:rPr>
        <w:t>)</w:t>
      </w:r>
      <w:r w:rsidR="00AB6A3D" w:rsidRPr="00AB6A3D">
        <w:rPr>
          <w:rFonts w:ascii="Times New Roman" w:hAnsi="Times New Roman" w:cs="Times New Roman"/>
          <w:sz w:val="24"/>
          <w:szCs w:val="24"/>
        </w:rPr>
        <w:t xml:space="preserve"> является высокая мобильность, быстрое время развертывания, высокая разрешающая способность, низкая стоимость получения, передачи и обработки микросейсмических данных.</w:t>
      </w:r>
    </w:p>
    <w:p w:rsidR="00161AF7" w:rsidRDefault="004568C0" w:rsidP="00161A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CD399" wp14:editId="154E46C9">
            <wp:extent cx="4183040" cy="3401826"/>
            <wp:effectExtent l="0" t="0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r="4498"/>
                    <a:stretch/>
                  </pic:blipFill>
                  <pic:spPr bwMode="auto">
                    <a:xfrm>
                      <a:off x="0" y="0"/>
                      <a:ext cx="4185005" cy="34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AF7" w:rsidRDefault="00161AF7" w:rsidP="005469DB">
      <w:pPr>
        <w:spacing w:line="240" w:lineRule="auto"/>
        <w:ind w:left="567" w:right="85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Ref430622629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2</w:t>
      </w:r>
      <w: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4568C0">
        <w:rPr>
          <w:rFonts w:ascii="Times New Roman" w:hAnsi="Times New Roman" w:cs="Times New Roman"/>
          <w:sz w:val="24"/>
          <w:szCs w:val="24"/>
        </w:rPr>
        <w:t xml:space="preserve">Схема </w:t>
      </w:r>
      <w:r w:rsidR="00AB6A3D">
        <w:rPr>
          <w:rFonts w:ascii="Times New Roman" w:hAnsi="Times New Roman" w:cs="Times New Roman"/>
          <w:sz w:val="24"/>
          <w:szCs w:val="24"/>
        </w:rPr>
        <w:t>наблюдения</w:t>
      </w:r>
    </w:p>
    <w:p w:rsidR="00161AF7" w:rsidRDefault="00161AF7" w:rsidP="00A22DB3">
      <w:pPr>
        <w:rPr>
          <w:rFonts w:ascii="Times New Roman" w:hAnsi="Times New Roman" w:cs="Times New Roman"/>
          <w:sz w:val="24"/>
          <w:szCs w:val="24"/>
        </w:rPr>
      </w:pPr>
    </w:p>
    <w:p w:rsidR="00A22DB3" w:rsidRDefault="00A22DB3" w:rsidP="00A22DB3">
      <w:pPr>
        <w:rPr>
          <w:rFonts w:ascii="Times New Roman" w:hAnsi="Times New Roman" w:cs="Times New Roman"/>
          <w:sz w:val="24"/>
          <w:szCs w:val="24"/>
        </w:rPr>
      </w:pPr>
      <w:r w:rsidRPr="00D32DB6">
        <w:rPr>
          <w:rFonts w:ascii="Times New Roman" w:hAnsi="Times New Roman" w:cs="Times New Roman"/>
          <w:b/>
          <w:sz w:val="24"/>
          <w:szCs w:val="24"/>
        </w:rPr>
        <w:t xml:space="preserve">Решаемые задачи при мониторинге </w:t>
      </w:r>
      <w:r w:rsidR="009217EB">
        <w:rPr>
          <w:rFonts w:ascii="Times New Roman" w:hAnsi="Times New Roman" w:cs="Times New Roman"/>
          <w:b/>
          <w:sz w:val="24"/>
          <w:szCs w:val="24"/>
        </w:rPr>
        <w:t>М</w:t>
      </w:r>
      <w:r w:rsidRPr="00D32DB6">
        <w:rPr>
          <w:rFonts w:ascii="Times New Roman" w:hAnsi="Times New Roman" w:cs="Times New Roman"/>
          <w:b/>
          <w:sz w:val="24"/>
          <w:szCs w:val="24"/>
        </w:rPr>
        <w:t>ГРП</w:t>
      </w:r>
      <w:r w:rsidR="004568C0">
        <w:rPr>
          <w:rFonts w:ascii="Times New Roman" w:hAnsi="Times New Roman" w:cs="Times New Roman"/>
          <w:sz w:val="24"/>
          <w:szCs w:val="24"/>
        </w:rPr>
        <w:t>: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длины и азимута зоны трещиноватости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Визуализация развития зоны трещиноватости во времени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 энергетических параметров микросейсмических событий и процесса закачки жидкости.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Визуализация области микросейсмической активности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карт плотности энергии</w:t>
      </w:r>
    </w:p>
    <w:p w:rsidR="00A22DB3" w:rsidRDefault="00A22DB3" w:rsidP="00A22D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стадий </w:t>
      </w:r>
      <w:r w:rsidR="009217E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ГРП на основе подсчета энергетических параметров</w:t>
      </w:r>
    </w:p>
    <w:p w:rsidR="00A22DB3" w:rsidRDefault="009217EB" w:rsidP="009217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 мониторинга. </w:t>
      </w:r>
      <w:r w:rsidRPr="009217EB">
        <w:rPr>
          <w:rFonts w:ascii="Times New Roman" w:hAnsi="Times New Roman" w:cs="Times New Roman"/>
          <w:b/>
          <w:sz w:val="24"/>
          <w:szCs w:val="24"/>
        </w:rPr>
        <w:t xml:space="preserve">Кинематические </w:t>
      </w:r>
      <w:r>
        <w:rPr>
          <w:rFonts w:ascii="Times New Roman" w:hAnsi="Times New Roman" w:cs="Times New Roman"/>
          <w:b/>
          <w:sz w:val="24"/>
          <w:szCs w:val="24"/>
        </w:rPr>
        <w:t xml:space="preserve">характеристики </w:t>
      </w:r>
      <w:r w:rsidRPr="009217EB">
        <w:rPr>
          <w:rFonts w:ascii="Times New Roman" w:hAnsi="Times New Roman" w:cs="Times New Roman"/>
          <w:b/>
          <w:sz w:val="24"/>
          <w:szCs w:val="24"/>
        </w:rPr>
        <w:t>событий.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DB3">
        <w:rPr>
          <w:rFonts w:ascii="Times New Roman" w:hAnsi="Times New Roman" w:cs="Times New Roman"/>
          <w:sz w:val="24"/>
          <w:szCs w:val="24"/>
        </w:rPr>
        <w:t xml:space="preserve">Одна из основных задач мониторинга </w:t>
      </w:r>
      <w:proofErr w:type="spellStart"/>
      <w:r w:rsidR="00A22DB3">
        <w:rPr>
          <w:rFonts w:ascii="Times New Roman" w:hAnsi="Times New Roman" w:cs="Times New Roman"/>
          <w:sz w:val="24"/>
          <w:szCs w:val="24"/>
        </w:rPr>
        <w:t>гидроразрыва</w:t>
      </w:r>
      <w:proofErr w:type="spellEnd"/>
      <w:r w:rsidR="00A22DB3">
        <w:rPr>
          <w:rFonts w:ascii="Times New Roman" w:hAnsi="Times New Roman" w:cs="Times New Roman"/>
          <w:sz w:val="24"/>
          <w:szCs w:val="24"/>
        </w:rPr>
        <w:t xml:space="preserve"> – определение геометрических параметров зоны трещиноватости, образующейся в результате проведения ГРП в скважине. Такие параметры как длина зоны трещиноватости и ее азимут, оцениваются по гипоцентрам микросейсмических событий, зарегистрированных в процессе мониторинга. Пример оценки длины крыльев зон трещиноватости и азимута ее распространения представлен на </w:t>
      </w:r>
      <w:r w:rsidR="00A22DB3">
        <w:rPr>
          <w:rFonts w:ascii="Times New Roman" w:hAnsi="Times New Roman" w:cs="Times New Roman"/>
          <w:sz w:val="24"/>
          <w:szCs w:val="24"/>
        </w:rPr>
        <w:fldChar w:fldCharType="begin"/>
      </w:r>
      <w:r w:rsidR="00A22DB3">
        <w:rPr>
          <w:rFonts w:ascii="Times New Roman" w:hAnsi="Times New Roman" w:cs="Times New Roman"/>
          <w:sz w:val="24"/>
          <w:szCs w:val="24"/>
        </w:rPr>
        <w:instrText xml:space="preserve"> REF _Ref413856109 \h </w:instrText>
      </w:r>
      <w:r w:rsidR="00A22DB3">
        <w:rPr>
          <w:rFonts w:ascii="Times New Roman" w:hAnsi="Times New Roman" w:cs="Times New Roman"/>
          <w:sz w:val="24"/>
          <w:szCs w:val="24"/>
        </w:rPr>
      </w:r>
      <w:r w:rsidR="00A22DB3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3</w:t>
      </w:r>
      <w:r w:rsidR="00A22DB3">
        <w:rPr>
          <w:rFonts w:ascii="Times New Roman" w:hAnsi="Times New Roman" w:cs="Times New Roman"/>
          <w:sz w:val="24"/>
          <w:szCs w:val="24"/>
        </w:rPr>
        <w:fldChar w:fldCharType="end"/>
      </w:r>
      <w:r w:rsidR="00A22DB3">
        <w:rPr>
          <w:rFonts w:ascii="Times New Roman" w:hAnsi="Times New Roman" w:cs="Times New Roman"/>
          <w:sz w:val="24"/>
          <w:szCs w:val="24"/>
        </w:rPr>
        <w:t xml:space="preserve">. Для большего понимания процессов трещинообразования технология позволяет визуализировать процесс формирования активной микросейсмической зоны не </w:t>
      </w:r>
      <w:r w:rsidR="00A22DB3">
        <w:rPr>
          <w:rFonts w:ascii="Times New Roman" w:hAnsi="Times New Roman" w:cs="Times New Roman"/>
          <w:sz w:val="24"/>
          <w:szCs w:val="24"/>
        </w:rPr>
        <w:lastRenderedPageBreak/>
        <w:t>только в статическом варианте (</w:t>
      </w:r>
      <w:r w:rsidR="00A22DB3">
        <w:rPr>
          <w:rFonts w:ascii="Times New Roman" w:hAnsi="Times New Roman" w:cs="Times New Roman"/>
          <w:sz w:val="24"/>
          <w:szCs w:val="24"/>
        </w:rPr>
        <w:fldChar w:fldCharType="begin"/>
      </w:r>
      <w:r w:rsidR="00A22DB3">
        <w:rPr>
          <w:rFonts w:ascii="Times New Roman" w:hAnsi="Times New Roman" w:cs="Times New Roman"/>
          <w:sz w:val="24"/>
          <w:szCs w:val="24"/>
        </w:rPr>
        <w:instrText xml:space="preserve"> REF _Ref430104188 \h </w:instrText>
      </w:r>
      <w:r w:rsidR="00A22DB3">
        <w:rPr>
          <w:rFonts w:ascii="Times New Roman" w:hAnsi="Times New Roman" w:cs="Times New Roman"/>
          <w:sz w:val="24"/>
          <w:szCs w:val="24"/>
        </w:rPr>
      </w:r>
      <w:r w:rsidR="00A22DB3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4</w:t>
      </w:r>
      <w:r w:rsidR="00A22DB3">
        <w:rPr>
          <w:rFonts w:ascii="Times New Roman" w:hAnsi="Times New Roman" w:cs="Times New Roman"/>
          <w:sz w:val="24"/>
          <w:szCs w:val="24"/>
        </w:rPr>
        <w:fldChar w:fldCharType="end"/>
      </w:r>
      <w:r w:rsidR="00A22DB3">
        <w:rPr>
          <w:rFonts w:ascii="Times New Roman" w:hAnsi="Times New Roman" w:cs="Times New Roman"/>
          <w:sz w:val="24"/>
          <w:szCs w:val="24"/>
        </w:rPr>
        <w:t>), но и в виде интерактивного проигрывания видеоролика.</w:t>
      </w:r>
    </w:p>
    <w:p w:rsidR="00A22DB3" w:rsidRDefault="00A22DB3" w:rsidP="00CB5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4341" cy="265814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9" t="31410" r="32581" b="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37" cy="26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Ref413856109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3</w:t>
      </w:r>
      <w: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– Карта зарегистрированных микросейсмических событий в процессе производства стадий замещения,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миниГРП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основного ГРП (1 порт) в проекции на дневную поверхность; размер событий пропорционален их энергии; начало системы координат совмещено с устьем скважины, цвет соответствует времени регистрации: фиолетовый – стадия замещения, голубой цвет – стадия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миниГРП</w:t>
      </w:r>
      <w:proofErr w:type="spellEnd"/>
      <w:r>
        <w:rPr>
          <w:rFonts w:ascii="Times New Roman" w:hAnsi="Times New Roman" w:cs="Times New Roman"/>
          <w:sz w:val="24"/>
          <w:szCs w:val="24"/>
        </w:rPr>
        <w:t>, красный – стадия основного ГРП.</w:t>
      </w:r>
    </w:p>
    <w:p w:rsidR="00AB6A3D" w:rsidRDefault="00AB6A3D" w:rsidP="00A22DB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AB6A3D" w:rsidRDefault="009217EB" w:rsidP="00D32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 мониторинга. </w:t>
      </w:r>
      <w:r w:rsidRPr="009217EB">
        <w:rPr>
          <w:rFonts w:ascii="Times New Roman" w:hAnsi="Times New Roman" w:cs="Times New Roman"/>
          <w:b/>
          <w:sz w:val="24"/>
          <w:szCs w:val="24"/>
        </w:rPr>
        <w:t>Динамические характеристики событий.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A3D">
        <w:rPr>
          <w:rFonts w:ascii="Times New Roman" w:hAnsi="Times New Roman" w:cs="Times New Roman"/>
          <w:sz w:val="24"/>
          <w:szCs w:val="24"/>
        </w:rPr>
        <w:t xml:space="preserve">Каждое микросейсмическое событие описывается набором параметров. Помимо координат и времени возникновения микросейсмического события, определяются энергетические параметры (абсолютная энергия, магнитуда, энергия деформаций изотропного сжатия/расширения, энергия максимальных отрывных/сжимающих/ сдвиговых напряжений и др.) Энергетические параметры рассчитаны на основе тензора сейсмического момента, который можно представить в главных осях в виде трех перпендикулярных векторов. На </w:t>
      </w:r>
      <w:r w:rsidR="00AB6A3D">
        <w:rPr>
          <w:rFonts w:ascii="Times New Roman" w:hAnsi="Times New Roman" w:cs="Times New Roman"/>
          <w:sz w:val="24"/>
          <w:szCs w:val="24"/>
        </w:rPr>
        <w:fldChar w:fldCharType="begin"/>
      </w:r>
      <w:r w:rsidR="00AB6A3D">
        <w:rPr>
          <w:rFonts w:ascii="Times New Roman" w:hAnsi="Times New Roman" w:cs="Times New Roman"/>
          <w:sz w:val="24"/>
          <w:szCs w:val="24"/>
        </w:rPr>
        <w:instrText xml:space="preserve"> REF _Ref430185162 \h </w:instrText>
      </w:r>
      <w:r w:rsidR="00AB6A3D">
        <w:rPr>
          <w:rFonts w:ascii="Times New Roman" w:hAnsi="Times New Roman" w:cs="Times New Roman"/>
          <w:sz w:val="24"/>
          <w:szCs w:val="24"/>
        </w:rPr>
      </w:r>
      <w:r w:rsidR="00AB6A3D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7</w:t>
      </w:r>
      <w:r w:rsidR="00AB6A3D">
        <w:rPr>
          <w:rFonts w:ascii="Times New Roman" w:hAnsi="Times New Roman" w:cs="Times New Roman"/>
          <w:sz w:val="24"/>
          <w:szCs w:val="24"/>
        </w:rPr>
        <w:fldChar w:fldCharType="end"/>
      </w:r>
      <w:r w:rsidR="00AB6A3D">
        <w:rPr>
          <w:rFonts w:ascii="Times New Roman" w:hAnsi="Times New Roman" w:cs="Times New Roman"/>
          <w:sz w:val="24"/>
          <w:szCs w:val="24"/>
        </w:rPr>
        <w:t xml:space="preserve"> представлено распределение микронапряжений в области возникновения микросейсмической эмиссии с направлениями главных осей напряжений (тензор сейсмического момента) в процессе ГРП. На рисунке указывается максимальное значение тензора микросейсмических событий, линейные размеры пропорциональны энергии.</w:t>
      </w:r>
    </w:p>
    <w:p w:rsidR="00A22DB3" w:rsidRDefault="00A22DB3" w:rsidP="00CB5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7849" cy="2169042"/>
            <wp:effectExtent l="0" t="0" r="0" b="3175"/>
            <wp:docPr id="8" name="Рисунок 8" descr="Описание: \\10.10.15.202\Shara\Вынгапуровское\Скв 1963 куст 396 Вынгапур Газпром\Скв. 1963 к. 396\PORT3\GRP3.2_g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6" descr="Описание: \\10.10.15.202\Shara\Вынгапуровское\Скв 1963 куст 396 Вынгапур Газпром\Скв. 1963 к. 396\PORT3\GRP3.2_gi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22" cy="21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spacing w:line="240" w:lineRule="auto"/>
        <w:ind w:left="851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Ref430104188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4</w:t>
      </w:r>
      <w: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– Гистограмма зарегистрированных микросейсмических событий по времени проведения основного ГРП, совмещенная с графиками техпроцессов (график давления НКТ выделен красным цветом, давление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затрубе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синим, расход жидкости – зеленым, концентрация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проппанта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плотномеру – розовым, мощность закачки – фиолетовым).</w:t>
      </w:r>
    </w:p>
    <w:p w:rsidR="00A22DB3" w:rsidRDefault="00A22DB3" w:rsidP="00A22DB3">
      <w:pPr>
        <w:rPr>
          <w:rFonts w:ascii="Times New Roman" w:hAnsi="Times New Roman" w:cs="Times New Roman"/>
          <w:sz w:val="24"/>
          <w:szCs w:val="24"/>
        </w:rPr>
      </w:pPr>
    </w:p>
    <w:p w:rsidR="00A22DB3" w:rsidRDefault="00A22DB3" w:rsidP="00A22DB3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плотности энергии микросейсмических событий позволяет построить контур области микросейсмической активности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_Ref430167554 \h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 На срезе этой области можно наблюдать плотность микросейсмической энергии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_Ref430167915 \h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22DB3" w:rsidRDefault="00A22DB3" w:rsidP="00CB5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09465" cy="2169042"/>
            <wp:effectExtent l="0" t="0" r="0" b="3175"/>
            <wp:docPr id="7" name="Рисунок 7" descr="Описание: C:\Users\Администратор\Desktop\1963\16.39\port\c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2" descr="Описание: C:\Users\Администратор\Desktop\1963\16.39\port\cpPO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7" r="2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11" cy="21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Ref430167554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5</w:t>
      </w:r>
      <w: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– Изоповерхность плотности микросейсмических событий, зарегистрированных в процессе производства первой стадии МГРП; шаг сетки равен 25 метрам; изоповерхность вмещает 95% энергии микросейсмической эмиссии</w:t>
      </w:r>
    </w:p>
    <w:p w:rsidR="00A22DB3" w:rsidRDefault="00A22DB3" w:rsidP="00A22D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6093" cy="2296830"/>
            <wp:effectExtent l="0" t="0" r="0" b="8255"/>
            <wp:docPr id="6" name="Рисунок 6" descr="Описание: C:\Users\Администратор\Desktop\1963\16.39\port\cpPORTs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3" descr="Описание: C:\Users\Администратор\Desktop\1963\16.39\port\cpPORTslic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2" r="2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32" cy="22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Ref430167915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6</w:t>
      </w:r>
      <w: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– Горизонтальный срез плотности энергии микросейсмических событий, зарегистрированных в процессе производства стадий замещения,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миниГРП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основного ГРП; шаг сетки равен 25 метрам; </w:t>
      </w:r>
    </w:p>
    <w:p w:rsidR="00A22DB3" w:rsidRDefault="00A22DB3" w:rsidP="00A22DB3">
      <w:pPr>
        <w:spacing w:line="240" w:lineRule="auto"/>
        <w:ind w:left="567" w:right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69982" cy="23832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16" cy="23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spacing w:line="240" w:lineRule="auto"/>
        <w:ind w:left="1134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Ref430185162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7</w:t>
      </w:r>
      <w: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– Направление главных осей напряжения (тензор) для каждого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микрособытия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производстве ГРП; шаг сетки равен 25 метрам</w:t>
      </w:r>
    </w:p>
    <w:p w:rsidR="00A22DB3" w:rsidRDefault="00A22DB3" w:rsidP="00A22DB3">
      <w:pPr>
        <w:spacing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A22DB3" w:rsidRDefault="00CB58EB" w:rsidP="00CB58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8EB">
        <w:rPr>
          <w:rFonts w:ascii="Times New Roman" w:hAnsi="Times New Roman" w:cs="Times New Roman"/>
          <w:b/>
          <w:sz w:val="24"/>
          <w:szCs w:val="24"/>
        </w:rPr>
        <w:t>Сравнительные характеристики  стадий МГРП.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DB3">
        <w:rPr>
          <w:rFonts w:ascii="Times New Roman" w:hAnsi="Times New Roman" w:cs="Times New Roman"/>
          <w:sz w:val="24"/>
          <w:szCs w:val="24"/>
        </w:rPr>
        <w:t>Оценка мощности закачки выполняется по графикам технологических процессов (</w:t>
      </w:r>
      <w:r w:rsidR="00A22DB3">
        <w:rPr>
          <w:rFonts w:ascii="Times New Roman" w:hAnsi="Times New Roman" w:cs="Times New Roman"/>
          <w:sz w:val="24"/>
          <w:szCs w:val="24"/>
        </w:rPr>
        <w:fldChar w:fldCharType="begin"/>
      </w:r>
      <w:r w:rsidR="00A22DB3">
        <w:rPr>
          <w:rFonts w:ascii="Times New Roman" w:hAnsi="Times New Roman" w:cs="Times New Roman"/>
          <w:sz w:val="24"/>
          <w:szCs w:val="24"/>
        </w:rPr>
        <w:instrText xml:space="preserve"> REF _Ref430104188 \h </w:instrText>
      </w:r>
      <w:r w:rsidR="00A22DB3">
        <w:rPr>
          <w:rFonts w:ascii="Times New Roman" w:hAnsi="Times New Roman" w:cs="Times New Roman"/>
          <w:sz w:val="24"/>
          <w:szCs w:val="24"/>
        </w:rPr>
      </w:r>
      <w:r w:rsidR="00A22DB3"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6A3D">
        <w:rPr>
          <w:rFonts w:ascii="Times New Roman" w:hAnsi="Times New Roman" w:cs="Times New Roman"/>
          <w:noProof/>
          <w:sz w:val="24"/>
          <w:szCs w:val="24"/>
        </w:rPr>
        <w:t>4</w:t>
      </w:r>
      <w:r w:rsidR="00A22DB3">
        <w:rPr>
          <w:rFonts w:ascii="Times New Roman" w:hAnsi="Times New Roman" w:cs="Times New Roman"/>
          <w:sz w:val="24"/>
          <w:szCs w:val="24"/>
        </w:rPr>
        <w:fldChar w:fldCharType="end"/>
      </w:r>
      <w:r w:rsidR="00A22DB3">
        <w:rPr>
          <w:rFonts w:ascii="Times New Roman" w:hAnsi="Times New Roman" w:cs="Times New Roman"/>
          <w:sz w:val="24"/>
          <w:szCs w:val="24"/>
        </w:rPr>
        <w:t xml:space="preserve">). Подсчет общей энергии закачки жидкости и соотношения микросейсмической энергии к общей энергии закачки характеризует различные стадии ГРП и позволяет сравнивать их друг с другом. Так на </w:t>
      </w:r>
      <w:r w:rsidR="00A22DB3">
        <w:rPr>
          <w:rFonts w:ascii="Times New Roman" w:hAnsi="Times New Roman" w:cs="Times New Roman"/>
          <w:sz w:val="24"/>
          <w:szCs w:val="24"/>
        </w:rPr>
        <w:fldChar w:fldCharType="begin"/>
      </w:r>
      <w:r w:rsidR="00A22DB3">
        <w:rPr>
          <w:rFonts w:ascii="Times New Roman" w:hAnsi="Times New Roman" w:cs="Times New Roman"/>
          <w:sz w:val="24"/>
          <w:szCs w:val="24"/>
        </w:rPr>
        <w:instrText xml:space="preserve"> REF _Ref430170460 \h </w:instrText>
      </w:r>
      <w:r w:rsidR="00A22DB3">
        <w:rPr>
          <w:rFonts w:ascii="Times New Roman" w:hAnsi="Times New Roman" w:cs="Times New Roman"/>
          <w:sz w:val="24"/>
          <w:szCs w:val="24"/>
        </w:rPr>
      </w:r>
      <w:r w:rsidR="00A22DB3">
        <w:rPr>
          <w:rFonts w:ascii="Times New Roman" w:hAnsi="Times New Roman" w:cs="Times New Roman"/>
          <w:sz w:val="24"/>
          <w:szCs w:val="24"/>
        </w:rPr>
        <w:fldChar w:fldCharType="separate"/>
      </w:r>
      <w:r w:rsidR="00C655AC">
        <w:rPr>
          <w:rFonts w:ascii="Times New Roman" w:hAnsi="Times New Roman" w:cs="Times New Roman"/>
          <w:sz w:val="24"/>
          <w:szCs w:val="24"/>
        </w:rPr>
        <w:t>Рис.</w:t>
      </w:r>
      <w:r w:rsidR="00AB6A3D">
        <w:rPr>
          <w:rFonts w:ascii="Times New Roman" w:hAnsi="Times New Roman" w:cs="Times New Roman"/>
          <w:sz w:val="24"/>
          <w:szCs w:val="24"/>
        </w:rPr>
        <w:t xml:space="preserve"> </w:t>
      </w:r>
      <w:r w:rsidR="00AB6A3D">
        <w:rPr>
          <w:rFonts w:ascii="Times New Roman" w:hAnsi="Times New Roman" w:cs="Times New Roman"/>
          <w:noProof/>
          <w:sz w:val="24"/>
          <w:szCs w:val="24"/>
        </w:rPr>
        <w:t>9</w:t>
      </w:r>
      <w:r w:rsidR="00A22DB3">
        <w:rPr>
          <w:rFonts w:ascii="Times New Roman" w:hAnsi="Times New Roman" w:cs="Times New Roman"/>
          <w:sz w:val="24"/>
          <w:szCs w:val="24"/>
        </w:rPr>
        <w:fldChar w:fldCharType="end"/>
      </w:r>
      <w:r w:rsidR="00A22DB3">
        <w:rPr>
          <w:rFonts w:ascii="Times New Roman" w:hAnsi="Times New Roman" w:cs="Times New Roman"/>
          <w:sz w:val="24"/>
          <w:szCs w:val="24"/>
        </w:rPr>
        <w:t xml:space="preserve"> представлен дисбаланс энергий деформации изотропного расширения и сжатия (P) для различных стадий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22DB3">
        <w:rPr>
          <w:rFonts w:ascii="Times New Roman" w:hAnsi="Times New Roman" w:cs="Times New Roman"/>
          <w:sz w:val="24"/>
          <w:szCs w:val="24"/>
        </w:rPr>
        <w:t>ГРП.</w:t>
      </w:r>
      <w:r w:rsidR="00C655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55AC">
        <w:rPr>
          <w:rFonts w:ascii="Times New Roman" w:hAnsi="Times New Roman" w:cs="Times New Roman"/>
          <w:sz w:val="24"/>
          <w:szCs w:val="24"/>
        </w:rPr>
        <w:t>На Рис. 10 представлены сравнительные изображения стадий 7-ми стадийного ГРП.</w:t>
      </w:r>
      <w:proofErr w:type="gramEnd"/>
    </w:p>
    <w:p w:rsidR="00A22DB3" w:rsidRDefault="00A22DB3" w:rsidP="00A22DB3">
      <w:pPr>
        <w:tabs>
          <w:tab w:val="left" w:pos="90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9556" cy="233916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52" cy="23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– Процентное соотношение суммарной излученной сейсмической энергии от энергии закачки для различных стадий МГРП</w:t>
      </w:r>
    </w:p>
    <w:p w:rsidR="00A22DB3" w:rsidRDefault="00A22DB3" w:rsidP="00A22DB3">
      <w:pPr>
        <w:tabs>
          <w:tab w:val="left" w:pos="903"/>
        </w:tabs>
        <w:rPr>
          <w:rFonts w:ascii="Times New Roman" w:hAnsi="Times New Roman" w:cs="Times New Roman"/>
          <w:sz w:val="24"/>
          <w:szCs w:val="24"/>
        </w:rPr>
      </w:pPr>
    </w:p>
    <w:p w:rsidR="00A22DB3" w:rsidRDefault="00A22DB3" w:rsidP="00CB5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4095" cy="2509284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69" cy="25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B3" w:rsidRDefault="00A22DB3" w:rsidP="00A22DB3">
      <w:pPr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Ref430170460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>
        <w:fldChar w:fldCharType="separate"/>
      </w:r>
      <w:r w:rsidR="00AB6A3D">
        <w:rPr>
          <w:rFonts w:ascii="Times New Roman" w:hAnsi="Times New Roman" w:cs="Times New Roman"/>
          <w:noProof/>
          <w:sz w:val="24"/>
          <w:szCs w:val="24"/>
        </w:rPr>
        <w:t>9</w:t>
      </w:r>
      <w: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– Некомпенсированная часть энергии деформаций изотропного расширения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) для различных стадий </w:t>
      </w:r>
      <w:r w:rsidR="00CB58E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ГРП</w:t>
      </w:r>
    </w:p>
    <w:p w:rsidR="000E609C" w:rsidRDefault="000E609C" w:rsidP="00A22DB3"/>
    <w:p w:rsidR="000E609C" w:rsidRDefault="000E609C" w:rsidP="00A22DB3"/>
    <w:p w:rsidR="000E609C" w:rsidRDefault="000E609C" w:rsidP="00A22DB3"/>
    <w:p w:rsidR="00EB1663" w:rsidRDefault="000E609C" w:rsidP="000E609C">
      <w:pPr>
        <w:jc w:val="center"/>
      </w:pPr>
      <w:r w:rsidRPr="000E609C">
        <w:rPr>
          <w:noProof/>
          <w:lang w:eastAsia="ru-RU"/>
        </w:rPr>
        <w:lastRenderedPageBreak/>
        <w:drawing>
          <wp:inline distT="0" distB="0" distL="0" distR="0" wp14:anchorId="6F7A16AE" wp14:editId="39C50AF8">
            <wp:extent cx="4532857" cy="1414130"/>
            <wp:effectExtent l="114300" t="95250" r="115570" b="914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 b="10029"/>
                    <a:stretch/>
                  </pic:blipFill>
                  <pic:spPr bwMode="auto">
                    <a:xfrm>
                      <a:off x="0" y="0"/>
                      <a:ext cx="4577201" cy="14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CB58EB">
        <w:rPr>
          <w:noProof/>
          <w:lang w:eastAsia="ru-RU"/>
        </w:rPr>
        <w:drawing>
          <wp:inline distT="0" distB="0" distL="0" distR="0" wp14:anchorId="67FF7E17" wp14:editId="4F951B8F">
            <wp:extent cx="4710711" cy="3264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19" cy="326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8EB" w:rsidRDefault="00CB58EB" w:rsidP="00CB58EB">
      <w:pPr>
        <w:ind w:left="567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655AC">
        <w:t>10</w:t>
      </w:r>
      <w:r>
        <w:rPr>
          <w:rFonts w:ascii="Times New Roman" w:hAnsi="Times New Roman" w:cs="Times New Roman"/>
          <w:sz w:val="24"/>
          <w:szCs w:val="24"/>
        </w:rPr>
        <w:t xml:space="preserve"> – Результат микросейсмического мониторинга МГРП в </w:t>
      </w:r>
      <w:r w:rsidR="000E609C">
        <w:rPr>
          <w:rFonts w:ascii="Times New Roman" w:hAnsi="Times New Roman" w:cs="Times New Roman"/>
          <w:sz w:val="24"/>
          <w:szCs w:val="24"/>
        </w:rPr>
        <w:t xml:space="preserve">изоповерхностях энергии и в виде горизонтальных проекций главных осей напряжений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8EB" w:rsidRPr="00424B95" w:rsidRDefault="00CB58EB" w:rsidP="00A22DB3"/>
    <w:p w:rsidR="00424B95" w:rsidRPr="00424B95" w:rsidRDefault="00424B95" w:rsidP="00A22DB3">
      <w:pPr>
        <w:rPr>
          <w:rFonts w:ascii="Times New Roman" w:hAnsi="Times New Roman" w:cs="Times New Roman"/>
          <w:sz w:val="24"/>
          <w:szCs w:val="24"/>
        </w:rPr>
      </w:pPr>
      <w:r w:rsidRPr="00424B95">
        <w:rPr>
          <w:rFonts w:ascii="Times New Roman" w:hAnsi="Times New Roman" w:cs="Times New Roman"/>
          <w:sz w:val="24"/>
          <w:szCs w:val="24"/>
        </w:rPr>
        <w:t>Метод применяется с 2002 года</w:t>
      </w:r>
      <w:proofErr w:type="gramStart"/>
      <w:r w:rsidRPr="00424B9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24B95">
        <w:rPr>
          <w:rFonts w:ascii="Times New Roman" w:hAnsi="Times New Roman" w:cs="Times New Roman"/>
          <w:sz w:val="24"/>
          <w:szCs w:val="24"/>
        </w:rPr>
        <w:t xml:space="preserve">Опробован на 80 месторождениях.  </w:t>
      </w:r>
      <w:r>
        <w:rPr>
          <w:rFonts w:ascii="Times New Roman" w:hAnsi="Times New Roman" w:cs="Times New Roman"/>
          <w:sz w:val="24"/>
          <w:szCs w:val="24"/>
        </w:rPr>
        <w:t>За дополнительной и</w:t>
      </w:r>
      <w:r w:rsidRPr="00424B95">
        <w:rPr>
          <w:rFonts w:ascii="Times New Roman" w:hAnsi="Times New Roman" w:cs="Times New Roman"/>
          <w:sz w:val="24"/>
          <w:szCs w:val="24"/>
        </w:rPr>
        <w:t>нформаци</w:t>
      </w:r>
      <w:r>
        <w:rPr>
          <w:rFonts w:ascii="Times New Roman" w:hAnsi="Times New Roman" w:cs="Times New Roman"/>
          <w:sz w:val="24"/>
          <w:szCs w:val="24"/>
        </w:rPr>
        <w:t>ей можно обратиться к  Ерохину Геннадию Никола</w:t>
      </w:r>
      <w:bookmarkStart w:id="8" w:name="_GoBack"/>
      <w:bookmarkEnd w:id="8"/>
      <w:r>
        <w:rPr>
          <w:rFonts w:ascii="Times New Roman" w:hAnsi="Times New Roman" w:cs="Times New Roman"/>
          <w:sz w:val="24"/>
          <w:szCs w:val="24"/>
        </w:rPr>
        <w:t xml:space="preserve">евичу </w:t>
      </w:r>
      <w:hyperlink r:id="rId22" w:history="1">
        <w:r w:rsidRPr="008C58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GErokhin@kantiana.ru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4B9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24B95" w:rsidRPr="00424B9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067" w:rsidRDefault="00E25067" w:rsidP="00CB58EB">
      <w:pPr>
        <w:spacing w:after="0" w:line="240" w:lineRule="auto"/>
      </w:pPr>
      <w:r>
        <w:separator/>
      </w:r>
    </w:p>
  </w:endnote>
  <w:endnote w:type="continuationSeparator" w:id="0">
    <w:p w:rsidR="00E25067" w:rsidRDefault="00E25067" w:rsidP="00CB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160996"/>
      <w:docPartObj>
        <w:docPartGallery w:val="Page Numbers (Bottom of Page)"/>
        <w:docPartUnique/>
      </w:docPartObj>
    </w:sdtPr>
    <w:sdtEndPr/>
    <w:sdtContent>
      <w:p w:rsidR="00CB58EB" w:rsidRDefault="00CB58E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B95">
          <w:rPr>
            <w:noProof/>
          </w:rPr>
          <w:t>7</w:t>
        </w:r>
        <w:r>
          <w:fldChar w:fldCharType="end"/>
        </w:r>
      </w:p>
    </w:sdtContent>
  </w:sdt>
  <w:p w:rsidR="00CB58EB" w:rsidRDefault="00CB58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067" w:rsidRDefault="00E25067" w:rsidP="00CB58EB">
      <w:pPr>
        <w:spacing w:after="0" w:line="240" w:lineRule="auto"/>
      </w:pPr>
      <w:r>
        <w:separator/>
      </w:r>
    </w:p>
  </w:footnote>
  <w:footnote w:type="continuationSeparator" w:id="0">
    <w:p w:rsidR="00E25067" w:rsidRDefault="00E25067" w:rsidP="00CB5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811"/>
    <w:multiLevelType w:val="hybridMultilevel"/>
    <w:tmpl w:val="4720E710"/>
    <w:lvl w:ilvl="0" w:tplc="04190001">
      <w:start w:val="1"/>
      <w:numFmt w:val="bullet"/>
      <w:lvlText w:val=""/>
      <w:lvlJc w:val="left"/>
      <w:pPr>
        <w:ind w:left="1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">
    <w:nsid w:val="797C50DA"/>
    <w:multiLevelType w:val="hybridMultilevel"/>
    <w:tmpl w:val="29809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D1"/>
    <w:rsid w:val="00022D6A"/>
    <w:rsid w:val="00026349"/>
    <w:rsid w:val="000E609C"/>
    <w:rsid w:val="000F03A2"/>
    <w:rsid w:val="00161AF7"/>
    <w:rsid w:val="00186D53"/>
    <w:rsid w:val="00196C17"/>
    <w:rsid w:val="001D3F16"/>
    <w:rsid w:val="001D7F85"/>
    <w:rsid w:val="001F73FB"/>
    <w:rsid w:val="00261FC6"/>
    <w:rsid w:val="00284CB8"/>
    <w:rsid w:val="002D1CAC"/>
    <w:rsid w:val="002D36D1"/>
    <w:rsid w:val="00424B95"/>
    <w:rsid w:val="0043739C"/>
    <w:rsid w:val="004568C0"/>
    <w:rsid w:val="00470E5C"/>
    <w:rsid w:val="004B2113"/>
    <w:rsid w:val="004F1269"/>
    <w:rsid w:val="005469DB"/>
    <w:rsid w:val="005D5605"/>
    <w:rsid w:val="00634766"/>
    <w:rsid w:val="006B2111"/>
    <w:rsid w:val="006B7159"/>
    <w:rsid w:val="006E2F88"/>
    <w:rsid w:val="008D771E"/>
    <w:rsid w:val="0090672F"/>
    <w:rsid w:val="009217EB"/>
    <w:rsid w:val="009B6D1F"/>
    <w:rsid w:val="009E5F1C"/>
    <w:rsid w:val="00A22DB3"/>
    <w:rsid w:val="00AB287F"/>
    <w:rsid w:val="00AB6A3D"/>
    <w:rsid w:val="00B96BFB"/>
    <w:rsid w:val="00BF0768"/>
    <w:rsid w:val="00BF5D6D"/>
    <w:rsid w:val="00C13B7C"/>
    <w:rsid w:val="00C50EDD"/>
    <w:rsid w:val="00C655AC"/>
    <w:rsid w:val="00CB58EB"/>
    <w:rsid w:val="00D0220B"/>
    <w:rsid w:val="00D32DB6"/>
    <w:rsid w:val="00E01E4F"/>
    <w:rsid w:val="00E25067"/>
    <w:rsid w:val="00EB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2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20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C13B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B5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58EB"/>
  </w:style>
  <w:style w:type="paragraph" w:styleId="a9">
    <w:name w:val="footer"/>
    <w:basedOn w:val="a"/>
    <w:link w:val="aa"/>
    <w:uiPriority w:val="99"/>
    <w:unhideWhenUsed/>
    <w:rsid w:val="00CB5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58EB"/>
  </w:style>
  <w:style w:type="character" w:styleId="ab">
    <w:name w:val="Hyperlink"/>
    <w:basedOn w:val="a0"/>
    <w:uiPriority w:val="99"/>
    <w:unhideWhenUsed/>
    <w:rsid w:val="00424B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2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20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C13B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B5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58EB"/>
  </w:style>
  <w:style w:type="paragraph" w:styleId="a9">
    <w:name w:val="footer"/>
    <w:basedOn w:val="a"/>
    <w:link w:val="aa"/>
    <w:uiPriority w:val="99"/>
    <w:unhideWhenUsed/>
    <w:rsid w:val="00CB5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58EB"/>
  </w:style>
  <w:style w:type="character" w:styleId="ab">
    <w:name w:val="Hyperlink"/>
    <w:basedOn w:val="a0"/>
    <w:uiPriority w:val="99"/>
    <w:unhideWhenUsed/>
    <w:rsid w:val="00424B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GErokhin@kantian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35142-70CA-4F58-B98E-071A70EA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dgapeev</dc:creator>
  <cp:lastModifiedBy>Геннадий Н. Ерохин</cp:lastModifiedBy>
  <cp:revision>2</cp:revision>
  <dcterms:created xsi:type="dcterms:W3CDTF">2015-10-28T09:32:00Z</dcterms:created>
  <dcterms:modified xsi:type="dcterms:W3CDTF">2015-10-28T09:32:00Z</dcterms:modified>
</cp:coreProperties>
</file>